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  <w:bookmarkStart w:id="0" w:name="_GoBack"/>
      <w:bookmarkEnd w:id="0"/>
    </w:p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F878F8">
      <w:pPr>
        <w:spacing w:after="0"/>
        <w:ind w:right="-567"/>
        <w:rPr>
          <w:rFonts w:ascii="Times New Roman" w:hAnsi="Times New Roman" w:cs="Times New Roman"/>
          <w:sz w:val="20"/>
          <w:szCs w:val="20"/>
        </w:rPr>
      </w:pPr>
      <w:bookmarkStart w:id="1" w:name="_Hlk138232881"/>
      <w:r>
        <w:rPr>
          <w:rFonts w:ascii="Times New Roman" w:hAnsi="Times New Roman" w:cs="Times New Roman"/>
          <w:sz w:val="20"/>
          <w:szCs w:val="20"/>
        </w:rPr>
        <w:t xml:space="preserve">KLASA:       </w:t>
      </w:r>
      <w:r>
        <w:rPr>
          <w:rFonts w:ascii="Times New Roman" w:hAnsi="Times New Roman" w:cs="Times New Roman"/>
          <w:noProof/>
          <w:sz w:val="20"/>
          <w:szCs w:val="20"/>
        </w:rPr>
        <w:t>400-02/23-01/2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506C29" w:rsidRDefault="00F878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URBROJ:     </w:t>
      </w:r>
      <w:r>
        <w:rPr>
          <w:rFonts w:ascii="Times New Roman" w:hAnsi="Times New Roman" w:cs="Times New Roman"/>
          <w:noProof/>
          <w:sz w:val="20"/>
          <w:szCs w:val="20"/>
        </w:rPr>
        <w:t>2181-1-277-23-1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506C29" w:rsidRDefault="00F878F8">
      <w:pPr>
        <w:pStyle w:val="Default"/>
        <w:rPr>
          <w:rFonts w:eastAsiaTheme="minorHAnsi"/>
          <w:color w:val="auto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F878F8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OSNOVNA ŠKOLA SPINUT</w:t>
      </w:r>
    </w:p>
    <w:p w:rsidR="00506C29" w:rsidRDefault="00F878F8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Teslina 12</w:t>
      </w:r>
    </w:p>
    <w:p w:rsidR="00506C29" w:rsidRDefault="00F878F8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21000  S P L I T </w:t>
      </w:r>
    </w:p>
    <w:p w:rsidR="00506C29" w:rsidRDefault="00F878F8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KLASA: 401-02/22-01/1</w:t>
      </w:r>
    </w:p>
    <w:p w:rsidR="00506C29" w:rsidRDefault="00F878F8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URBROJ: 2181-1-</w:t>
      </w:r>
    </w:p>
    <w:p w:rsidR="00506C29" w:rsidRDefault="00F878F8">
      <w:pPr>
        <w:spacing w:after="0" w:line="276" w:lineRule="auto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Split,  27. srpnja 2023.</w:t>
      </w:r>
    </w:p>
    <w:p w:rsidR="00506C29" w:rsidRDefault="00506C29">
      <w:pPr>
        <w:rPr>
          <w:rFonts w:asciiTheme="minorHAnsi" w:hAnsiTheme="minorHAnsi" w:cstheme="minorHAnsi"/>
          <w:sz w:val="24"/>
          <w:szCs w:val="24"/>
        </w:rPr>
      </w:pPr>
    </w:p>
    <w:p w:rsidR="00506C29" w:rsidRDefault="00506C29">
      <w:pPr>
        <w:rPr>
          <w:rFonts w:asciiTheme="minorHAnsi" w:hAnsiTheme="minorHAnsi" w:cstheme="minorHAnsi"/>
          <w:sz w:val="24"/>
          <w:szCs w:val="24"/>
        </w:rPr>
      </w:pPr>
    </w:p>
    <w:p w:rsidR="00506C29" w:rsidRDefault="00506C29">
      <w:pPr>
        <w:rPr>
          <w:rFonts w:asciiTheme="minorHAnsi" w:hAnsiTheme="minorHAnsi" w:cstheme="minorHAnsi"/>
          <w:sz w:val="24"/>
          <w:szCs w:val="24"/>
        </w:rPr>
      </w:pPr>
    </w:p>
    <w:p w:rsidR="00506C29" w:rsidRDefault="00506C29">
      <w:pPr>
        <w:rPr>
          <w:rFonts w:asciiTheme="minorHAnsi" w:hAnsiTheme="minorHAnsi" w:cstheme="minorHAnsi"/>
          <w:sz w:val="24"/>
          <w:szCs w:val="24"/>
        </w:rPr>
      </w:pPr>
    </w:p>
    <w:p w:rsidR="00506C29" w:rsidRDefault="00F878F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Temelj</w:t>
      </w:r>
      <w:r>
        <w:rPr>
          <w:rFonts w:asciiTheme="minorHAnsi" w:hAnsiTheme="minorHAnsi" w:cstheme="minorHAnsi"/>
          <w:sz w:val="24"/>
          <w:szCs w:val="24"/>
          <w:lang w:val="hr-HR"/>
        </w:rPr>
        <w:t>em članka 81. novog Zakona o proračunu i Pravilnika o polugodišnjem i godišnjem izvještaju o izvršenju proračuna (NN 24/13, 102/17, 1/20 i 147/20) ), Zakona o fiskalnoj odgovornosti (NN 111/18) i Uredbe o sastavljanju i predaji Izjave o fiskalnoj odgovorno</w:t>
      </w:r>
      <w:r>
        <w:rPr>
          <w:rFonts w:asciiTheme="minorHAnsi" w:hAnsiTheme="minorHAnsi" w:cstheme="minorHAnsi"/>
          <w:sz w:val="24"/>
          <w:szCs w:val="24"/>
          <w:lang w:val="hr-HR"/>
        </w:rPr>
        <w:t>sti i izvještaja o primjeni fiskalnih pravila (NN 95/19),  Školski odbor na sjednici održanoj dana 27. srpnja 2023. donosi:</w:t>
      </w:r>
    </w:p>
    <w:p w:rsidR="00506C29" w:rsidRDefault="00F878F8">
      <w:pPr>
        <w:rPr>
          <w:b/>
          <w:bCs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t>Polugodišnje izvješće o izvršenju financijskog plana za razdoblje 01/01/2023 do 30/06/2023.</w:t>
      </w:r>
    </w:p>
    <w:p w:rsidR="00506C29" w:rsidRDefault="00F878F8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>
        <w:rPr>
          <w:rFonts w:ascii="Calibri" w:hAnsi="Calibri" w:cstheme="minorHAnsi"/>
          <w:b/>
          <w:bCs/>
          <w:sz w:val="24"/>
          <w:szCs w:val="24"/>
          <w:lang w:val="hr-HR"/>
        </w:rPr>
        <w:t>1. Sažetak</w:t>
      </w:r>
    </w:p>
    <w:p w:rsidR="00506C29" w:rsidRDefault="00506C29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tbl>
      <w:tblPr>
        <w:tblW w:w="912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00"/>
        <w:gridCol w:w="1926"/>
        <w:gridCol w:w="1646"/>
        <w:gridCol w:w="1756"/>
      </w:tblGrid>
      <w:tr w:rsidR="00506C29">
        <w:trPr>
          <w:trHeight w:val="848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SAŽETAK RAČUNA PRIHODA I RASHODA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IZVRŠENJE PLANA I-VI-2022.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za 2023.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IZVRŠENJE PLANA I-VI-2023</w:t>
            </w:r>
          </w:p>
        </w:tc>
      </w:tr>
      <w:tr w:rsidR="00506C29">
        <w:trPr>
          <w:trHeight w:val="276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UKUPNO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752.913,20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1.649.449,00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883.037,02</w:t>
            </w:r>
          </w:p>
        </w:tc>
      </w:tr>
      <w:tr w:rsidR="00506C29">
        <w:trPr>
          <w:trHeight w:val="276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PRIHODI POSLOVANJA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752.609,53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1.648.875,00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882.759,40</w:t>
            </w:r>
          </w:p>
        </w:tc>
      </w:tr>
      <w:tr w:rsidR="00506C29">
        <w:trPr>
          <w:trHeight w:val="276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PRODAJE NEFINANCIJSKE IMOVINE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303,67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277,62</w:t>
            </w:r>
          </w:p>
        </w:tc>
      </w:tr>
      <w:tr w:rsidR="00506C29">
        <w:trPr>
          <w:trHeight w:val="276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UKUPNO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734.491,09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1.649.449,00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877.554,45</w:t>
            </w:r>
          </w:p>
        </w:tc>
      </w:tr>
      <w:tr w:rsidR="00506C29">
        <w:trPr>
          <w:trHeight w:val="276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POSLOVANJA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729.275,55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1.610.699,00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876.453,76</w:t>
            </w:r>
          </w:p>
        </w:tc>
      </w:tr>
      <w:tr w:rsidR="00506C29">
        <w:trPr>
          <w:trHeight w:val="276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 ZA NABAVU NEFINANCIJSKE IMOVINE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5.215,53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38.750,00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1.100,69</w:t>
            </w:r>
          </w:p>
        </w:tc>
      </w:tr>
      <w:tr w:rsidR="00506C29">
        <w:trPr>
          <w:trHeight w:val="276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RAZLIKA- VIŠAK/MANJAK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5.482,57</w:t>
            </w:r>
          </w:p>
        </w:tc>
      </w:tr>
    </w:tbl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pStyle w:val="Tijeloteksta"/>
      </w:pPr>
    </w:p>
    <w:p w:rsidR="00506C29" w:rsidRDefault="00506C29">
      <w:pPr>
        <w:pStyle w:val="Tijeloteksta"/>
      </w:pPr>
    </w:p>
    <w:p w:rsidR="00506C29" w:rsidRDefault="00506C29">
      <w:pPr>
        <w:pStyle w:val="Tijeloteksta"/>
      </w:pPr>
    </w:p>
    <w:p w:rsidR="00506C29" w:rsidRDefault="00506C29">
      <w:pPr>
        <w:pStyle w:val="Tijeloteksta"/>
      </w:pPr>
    </w:p>
    <w:tbl>
      <w:tblPr>
        <w:tblW w:w="901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2"/>
        <w:gridCol w:w="1984"/>
        <w:gridCol w:w="1376"/>
        <w:gridCol w:w="1341"/>
      </w:tblGrid>
      <w:tr w:rsidR="00506C29">
        <w:trPr>
          <w:trHeight w:val="848"/>
        </w:trPr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>SA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ŽETAK RAČUNA FINANCIRANJA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IZVRŠENJE PLANA I-VI-2023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Plan za 2023.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29" w:rsidRDefault="00F878F8">
            <w:pPr>
              <w:widowControl w:val="0"/>
              <w:tabs>
                <w:tab w:val="left" w:pos="1816"/>
              </w:tabs>
              <w:ind w:left="720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IZVRŠENJE PLANA I-VI-2023</w:t>
            </w:r>
          </w:p>
        </w:tc>
      </w:tr>
      <w:tr w:rsidR="00506C29">
        <w:trPr>
          <w:trHeight w:val="520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PRIMICI OD FINAN. IMOVINE I ZADUŽIVANJA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29" w:rsidRDefault="00F878F8">
            <w:pPr>
              <w:widowControl w:val="0"/>
              <w:ind w:left="7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06C29">
        <w:trPr>
          <w:trHeight w:val="600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IZDACI ZA FINANCIJSKU IMOVINU I OTPLATU ZAJMOVA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29" w:rsidRDefault="00F878F8">
            <w:pPr>
              <w:widowControl w:val="0"/>
              <w:ind w:left="7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06C29">
        <w:trPr>
          <w:trHeight w:val="500"/>
        </w:trPr>
        <w:tc>
          <w:tcPr>
            <w:tcW w:w="431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NETO FINANCIRANJE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ind w:left="7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29" w:rsidRDefault="00F878F8">
            <w:pPr>
              <w:widowControl w:val="0"/>
              <w:ind w:left="7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506C29" w:rsidRDefault="00506C29">
      <w:pPr>
        <w:ind w:left="720"/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F878F8">
      <w:pPr>
        <w:ind w:left="720"/>
      </w:pPr>
      <w:r>
        <w:rPr>
          <w:rFonts w:asciiTheme="minorHAnsi" w:hAnsiTheme="minorHAnsi" w:cstheme="minorHAnsi"/>
          <w:lang w:val="hr-HR"/>
        </w:rPr>
        <w:t>VIŠKOVI /MANJKOVI</w:t>
      </w:r>
    </w:p>
    <w:p w:rsidR="00506C29" w:rsidRDefault="00506C29">
      <w:pPr>
        <w:ind w:left="720"/>
        <w:rPr>
          <w:rFonts w:asciiTheme="minorHAnsi" w:hAnsiTheme="minorHAnsi" w:cstheme="minorHAnsi"/>
          <w:lang w:val="hr-HR"/>
        </w:rPr>
      </w:pPr>
    </w:p>
    <w:tbl>
      <w:tblPr>
        <w:tblStyle w:val="Reetkatablice"/>
        <w:tblW w:w="8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669"/>
        <w:gridCol w:w="1593"/>
        <w:gridCol w:w="2438"/>
      </w:tblGrid>
      <w:tr w:rsidR="00506C29">
        <w:tc>
          <w:tcPr>
            <w:tcW w:w="3259" w:type="dxa"/>
          </w:tcPr>
          <w:p w:rsidR="00506C29" w:rsidRDefault="00F878F8">
            <w:pPr>
              <w:pStyle w:val="Odlomakpopisa"/>
              <w:widowControl w:val="0"/>
              <w:spacing w:after="0"/>
              <w:ind w:left="1440"/>
              <w:rPr>
                <w:rFonts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b/>
                <w:sz w:val="16"/>
                <w:szCs w:val="16"/>
              </w:rPr>
              <w:t>VIŠKOVI/MANJKOVI</w:t>
            </w:r>
          </w:p>
        </w:tc>
        <w:tc>
          <w:tcPr>
            <w:tcW w:w="1669" w:type="dxa"/>
          </w:tcPr>
          <w:p w:rsidR="00506C29" w:rsidRDefault="00F878F8">
            <w:pPr>
              <w:pStyle w:val="Odlomakpopisa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sz w:val="16"/>
                <w:szCs w:val="16"/>
              </w:rPr>
              <w:t>IZVRŠENJE PLANA I-VI 2022.</w:t>
            </w:r>
          </w:p>
        </w:tc>
        <w:tc>
          <w:tcPr>
            <w:tcW w:w="1593" w:type="dxa"/>
          </w:tcPr>
          <w:p w:rsidR="00506C29" w:rsidRDefault="00F878F8">
            <w:pPr>
              <w:pStyle w:val="Odlomakpopisa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i/>
                <w:sz w:val="16"/>
                <w:szCs w:val="16"/>
              </w:rPr>
              <w:t>PLAN ZA 2023.</w:t>
            </w:r>
          </w:p>
        </w:tc>
        <w:tc>
          <w:tcPr>
            <w:tcW w:w="2438" w:type="dxa"/>
          </w:tcPr>
          <w:p w:rsidR="00506C29" w:rsidRDefault="00F878F8">
            <w:pPr>
              <w:pStyle w:val="Odlomakpopisa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i/>
                <w:sz w:val="16"/>
                <w:szCs w:val="16"/>
              </w:rPr>
              <w:t>IZVRŠENJE PLANA TEKUĆE GODINE</w:t>
            </w:r>
          </w:p>
        </w:tc>
      </w:tr>
      <w:tr w:rsidR="00506C29">
        <w:tc>
          <w:tcPr>
            <w:tcW w:w="3259" w:type="dxa"/>
          </w:tcPr>
          <w:p w:rsidR="00506C29" w:rsidRDefault="00F878F8">
            <w:pPr>
              <w:pStyle w:val="Odlomakpopisa"/>
              <w:widowControl w:val="0"/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b/>
                <w:sz w:val="16"/>
                <w:szCs w:val="16"/>
              </w:rPr>
              <w:t>UKUPAN DONOS VIŠKA/MANJKA IZ PRETHODIH GODINA</w:t>
            </w:r>
          </w:p>
        </w:tc>
        <w:tc>
          <w:tcPr>
            <w:tcW w:w="1669" w:type="dxa"/>
          </w:tcPr>
          <w:p w:rsidR="00506C29" w:rsidRDefault="00F878F8">
            <w:pPr>
              <w:pStyle w:val="Odlomakpopisa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sz w:val="16"/>
                <w:szCs w:val="16"/>
              </w:rPr>
              <w:t>0</w:t>
            </w:r>
          </w:p>
        </w:tc>
        <w:tc>
          <w:tcPr>
            <w:tcW w:w="1593" w:type="dxa"/>
          </w:tcPr>
          <w:p w:rsidR="00506C29" w:rsidRDefault="00F878F8">
            <w:pPr>
              <w:pStyle w:val="Odlomakpopisa"/>
              <w:widowControl w:val="0"/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438" w:type="dxa"/>
          </w:tcPr>
          <w:p w:rsidR="00506C29" w:rsidRDefault="00F878F8">
            <w:pPr>
              <w:pStyle w:val="Odlomakpopisa"/>
              <w:widowControl w:val="0"/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b/>
                <w:sz w:val="16"/>
                <w:szCs w:val="16"/>
              </w:rPr>
              <w:t>0</w:t>
            </w:r>
          </w:p>
        </w:tc>
      </w:tr>
      <w:tr w:rsidR="00506C29">
        <w:tc>
          <w:tcPr>
            <w:tcW w:w="3259" w:type="dxa"/>
          </w:tcPr>
          <w:p w:rsidR="00506C29" w:rsidRDefault="00F878F8">
            <w:pPr>
              <w:pStyle w:val="Odlomakpopisa"/>
              <w:widowControl w:val="0"/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b/>
                <w:sz w:val="16"/>
                <w:szCs w:val="16"/>
              </w:rPr>
              <w:t>VIŠAK/MANJAK KOJI ĆE SE RASPOREDITI I POKRITI</w:t>
            </w:r>
          </w:p>
        </w:tc>
        <w:tc>
          <w:tcPr>
            <w:tcW w:w="1669" w:type="dxa"/>
          </w:tcPr>
          <w:p w:rsidR="00506C29" w:rsidRDefault="00F878F8">
            <w:pPr>
              <w:pStyle w:val="Odlomakpopisa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sz w:val="16"/>
                <w:szCs w:val="16"/>
              </w:rPr>
              <w:t>0</w:t>
            </w:r>
          </w:p>
        </w:tc>
        <w:tc>
          <w:tcPr>
            <w:tcW w:w="1593" w:type="dxa"/>
          </w:tcPr>
          <w:p w:rsidR="00506C29" w:rsidRDefault="00F878F8">
            <w:pPr>
              <w:pStyle w:val="Odlomakpopisa"/>
              <w:widowControl w:val="0"/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2438" w:type="dxa"/>
          </w:tcPr>
          <w:p w:rsidR="00506C29" w:rsidRDefault="00F878F8">
            <w:pPr>
              <w:pStyle w:val="Odlomakpopisa"/>
              <w:widowControl w:val="0"/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theme="minorHAnsi"/>
                <w:b/>
                <w:sz w:val="16"/>
                <w:szCs w:val="16"/>
              </w:rPr>
              <w:t>0</w:t>
            </w:r>
          </w:p>
        </w:tc>
      </w:tr>
    </w:tbl>
    <w:p w:rsidR="00506C29" w:rsidRDefault="00506C29">
      <w:pPr>
        <w:ind w:left="720"/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F878F8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2. OPĆI DIO</w:t>
      </w:r>
    </w:p>
    <w:p w:rsidR="00506C29" w:rsidRDefault="00506C29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F878F8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Opći dio financijskog plana sadrži:</w:t>
      </w:r>
    </w:p>
    <w:p w:rsidR="00506C29" w:rsidRDefault="00F878F8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-sažetak Računa prihoda i rashoda i Računa financiranja</w:t>
      </w:r>
    </w:p>
    <w:p w:rsidR="00506C29" w:rsidRDefault="00F878F8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- Račun prihoda i rashoda i Račun financiranja</w:t>
      </w:r>
    </w:p>
    <w:p w:rsidR="00506C29" w:rsidRDefault="00506C29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F878F8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Račun financiranja nismo imali budući nismo ostvarili prihode od financijske imovine i zaduživanja niti izdatke za financijsku imovinu i otplate zajmova</w:t>
      </w:r>
      <w:r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506C29" w:rsidRDefault="00506C29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F878F8">
      <w:pPr>
        <w:rPr>
          <w:rFonts w:asciiTheme="minorHAnsi" w:hAnsiTheme="minorHAnsi" w:cstheme="minorHAnsi"/>
          <w:lang w:val="hr-HR"/>
        </w:rPr>
      </w:pPr>
      <w:r>
        <w:rPr>
          <w:rFonts w:ascii="Calibri" w:hAnsi="Calibri" w:cstheme="minorHAnsi"/>
          <w:lang w:val="hr-HR"/>
        </w:rPr>
        <w:t>Pregled ukupnih prihoda po ekonomskoj klasifikaciji:</w:t>
      </w:r>
    </w:p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913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739"/>
        <w:gridCol w:w="3854"/>
        <w:gridCol w:w="1473"/>
        <w:gridCol w:w="1362"/>
        <w:gridCol w:w="1138"/>
      </w:tblGrid>
      <w:tr w:rsidR="00506C29">
        <w:trPr>
          <w:trHeight w:val="38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RAZRED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SKUPINA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NAZIV PRIHODA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PLAN ZA 2023.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OSTVARENO I-VI 2023.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ind w:right="34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INDEKS</w:t>
            </w:r>
          </w:p>
        </w:tc>
      </w:tr>
      <w:tr w:rsidR="00506C29">
        <w:trPr>
          <w:trHeight w:val="64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b/>
                <w:sz w:val="14"/>
                <w:szCs w:val="14"/>
              </w:rPr>
            </w:pP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Prihodi poslovanja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506C29">
        <w:trPr>
          <w:trHeight w:val="64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b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Pomoći iz inozemstva i od subjekta unutar općeg proračuna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1.272.316,00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882.759,40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69,38%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6361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Tekuće pomoći pror.korisn. iz nenadležnog prorač.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1.242.516,00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697.088,15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56,10%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6362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Kapitalne pomoći pror.korisn. iz nenadležnog prorač.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29.800,00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72,64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0,24%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Prihodi od imovine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6413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Kamate na  sredstva po viđenju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0,00%</w:t>
            </w:r>
          </w:p>
        </w:tc>
      </w:tr>
      <w:tr w:rsidR="00506C29">
        <w:trPr>
          <w:trHeight w:val="38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Prihodi od administ.i upravnih prist po pos.propisima i naknade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127.536,00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62.852,42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49,28%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6526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Sufinanciranje cijene usluge, participacije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127.536,00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62.852,42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49,28%</w:t>
            </w:r>
          </w:p>
        </w:tc>
      </w:tr>
      <w:tr w:rsidR="00506C29">
        <w:trPr>
          <w:trHeight w:val="38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b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Prihodi od prodaje proizvoda i robe te pruženih usluga, prihodi od donacija te povrati po protesnim jamstvima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16.197,00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4.644,70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28,68%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6614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Prihodi od prodanih proizvoda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1.999,00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4.445,62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222,39%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6615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Prihodi od pruženih usluga -najam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199,08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19,91%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6631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Tekuće pomoći propračunskim korisnicima (EU)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13.198,00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0,00%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6632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Prihodi s naslova osiguranja, ref. štete i tot. Štete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,00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#DIV/0!</w:t>
            </w:r>
          </w:p>
        </w:tc>
      </w:tr>
      <w:tr w:rsidR="00506C29">
        <w:trPr>
          <w:trHeight w:val="388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b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Prihodi od nadležnog proračuna i od HZZO temeljem ug. obveza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232.824,00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118.101,49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50,73%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6711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Prihodi iz nadležnog proračuna za  fin.ras.pos.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225.874,00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113.917,57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50,43%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6712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Prihodi iz nadležnog proračuna za  fin.nefinanc.im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6.950,00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4.183,92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60,20%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Prihodi od prodaje nefinancijske imovine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574,00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277,62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48,37%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b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Prihodi od prodaje proizvedene dugotrajne imovine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574,00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277,62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48,37%</w:t>
            </w:r>
          </w:p>
        </w:tc>
      </w:tr>
      <w:tr w:rsidR="00506C29">
        <w:trPr>
          <w:trHeight w:val="27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b/>
                <w:sz w:val="14"/>
                <w:szCs w:val="14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7211</w:t>
            </w:r>
          </w:p>
        </w:tc>
        <w:tc>
          <w:tcPr>
            <w:tcW w:w="38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Stambeni objekti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574,00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277,62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48,37%</w:t>
            </w:r>
          </w:p>
        </w:tc>
      </w:tr>
      <w:tr w:rsidR="00506C29">
        <w:trPr>
          <w:trHeight w:val="555"/>
        </w:trPr>
        <w:tc>
          <w:tcPr>
            <w:tcW w:w="515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OSTVARENI PRIHODI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1.649.449,00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883.037,02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53,54%</w:t>
            </w:r>
          </w:p>
        </w:tc>
      </w:tr>
      <w:tr w:rsidR="00506C29">
        <w:trPr>
          <w:trHeight w:val="510"/>
        </w:trPr>
        <w:tc>
          <w:tcPr>
            <w:tcW w:w="515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DONOS/VIŠAK KORIŠTEN ZA POKRIĆE RASHODA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b/>
                <w:sz w:val="14"/>
                <w:szCs w:val="14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b/>
                <w:sz w:val="14"/>
                <w:szCs w:val="14"/>
              </w:rPr>
            </w:pPr>
          </w:p>
        </w:tc>
      </w:tr>
    </w:tbl>
    <w:p w:rsidR="00506C29" w:rsidRDefault="00F878F8">
      <w:pPr>
        <w:rPr>
          <w:rFonts w:asciiTheme="minorHAnsi" w:hAnsiTheme="minorHAnsi" w:cstheme="minorHAnsi"/>
          <w:lang w:val="hr-HR"/>
        </w:rPr>
      </w:pPr>
      <w:r>
        <w:rPr>
          <w:rFonts w:ascii="Calibri" w:hAnsi="Calibri" w:cstheme="minorHAnsi"/>
          <w:lang w:val="hr-HR"/>
        </w:rPr>
        <w:t>Pregled ukupnih prihoda i rashoda po izvorima financiranja:</w:t>
      </w:r>
    </w:p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W w:w="916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"/>
        <w:gridCol w:w="3361"/>
        <w:gridCol w:w="1625"/>
        <w:gridCol w:w="1919"/>
        <w:gridCol w:w="1320"/>
      </w:tblGrid>
      <w:tr w:rsidR="00506C29">
        <w:trPr>
          <w:trHeight w:val="99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Oznaka IF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NAZIV IZVORA FINANCIRANJA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 ZA 2023.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OSTVARENO I-VI 2023.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INDEKS</w:t>
            </w: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506C29">
        <w:trPr>
          <w:trHeight w:val="360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DONOS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232.824,00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118.101,49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50,73%</w:t>
            </w: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232.824,00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115.905,37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49,78%</w:t>
            </w: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VLASTITI PRIHODI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DONOS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3.575,00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4.922,32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137,69%</w:t>
            </w: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3.575,00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1.957,03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54,74%</w:t>
            </w: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PRIHODI ZA POSEBNE NAMJENE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DONOS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127.536,00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62.852,42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49,28%</w:t>
            </w: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127.536,00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55.763,14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43,72%</w:t>
            </w: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POMOĆI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DONOS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1.272.316,00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697.160,79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54,79%</w:t>
            </w: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1.272.316,00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702.828,22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55,24%</w:t>
            </w: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DONACIJE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DONOS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#DIV/0!</w:t>
            </w: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PRIHODI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#DIV/0!</w:t>
            </w:r>
          </w:p>
        </w:tc>
      </w:tr>
      <w:tr w:rsidR="00506C29">
        <w:trPr>
          <w:trHeight w:val="276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RASHODI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#DIV/0!</w:t>
            </w:r>
          </w:p>
        </w:tc>
      </w:tr>
    </w:tbl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rPr>
          <w:rFonts w:ascii="Calibri" w:hAnsi="Calibri" w:cstheme="minorHAnsi"/>
          <w:sz w:val="24"/>
          <w:szCs w:val="24"/>
          <w:lang w:val="hr-HR"/>
        </w:rPr>
      </w:pPr>
    </w:p>
    <w:p w:rsidR="00506C29" w:rsidRDefault="00506C29">
      <w:pPr>
        <w:rPr>
          <w:rFonts w:ascii="Calibri" w:hAnsi="Calibri" w:cstheme="minorHAnsi"/>
          <w:sz w:val="24"/>
          <w:szCs w:val="24"/>
          <w:lang w:val="hr-HR"/>
        </w:rPr>
      </w:pPr>
    </w:p>
    <w:p w:rsidR="00506C29" w:rsidRDefault="00F878F8">
      <w:pPr>
        <w:rPr>
          <w:rFonts w:asciiTheme="minorHAnsi" w:hAnsiTheme="minorHAnsi" w:cstheme="minorHAnsi"/>
          <w:lang w:val="hr-HR"/>
        </w:rPr>
      </w:pPr>
      <w:r>
        <w:rPr>
          <w:rFonts w:ascii="Calibri" w:hAnsi="Calibri" w:cstheme="minorHAnsi"/>
          <w:lang w:val="hr-HR"/>
        </w:rPr>
        <w:t>2. POSEBNI DIO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t>Posebni dio polugodišnjeg izvještaja o izvršenju financijskog plana sadrži izvršenje rashoda i izdataka iskazanih prema izvorima financiranja raspoređenih u programe koji se sastoje od aktivnosti i projekata.</w:t>
      </w:r>
    </w:p>
    <w:tbl>
      <w:tblPr>
        <w:tblW w:w="828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6"/>
        <w:gridCol w:w="861"/>
        <w:gridCol w:w="4295"/>
        <w:gridCol w:w="881"/>
        <w:gridCol w:w="154"/>
        <w:gridCol w:w="772"/>
        <w:gridCol w:w="572"/>
      </w:tblGrid>
      <w:tr w:rsidR="00506C29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hr-HR"/>
              </w:rPr>
              <w:t>KONTO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POZICIJA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VRSTA RASHODA / IZDATAKA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PLANIRA</w:t>
            </w:r>
            <w:r>
              <w:rPr>
                <w:rFonts w:ascii="Calibri" w:hAnsi="Calibri"/>
                <w:sz w:val="14"/>
                <w:szCs w:val="14"/>
              </w:rPr>
              <w:t>NO</w:t>
            </w: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UKUPNO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indeks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SVEUKUPNO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1.649.449,00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874.853,18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53,04%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Proračunski korisnik 103       01        13326 OŠ SPINUT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1.649.449,00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874.853,18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Glavni program S02 OSNOVNO ŠKOLSKO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1.649.449,00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874.853,18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Program S02 3200 DECENTRALIZIRANE FUNKCIJE - MINIMALNI FINANCIJSKI STANDARD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90.769,00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37.626,99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41%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3200A320001 REDOVNA PROGRAMSKA DJELATNOST OSNOVNIH ŠKOLA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85.769,00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37.626,99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85.769,00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37.626,99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1.2. POREZNI PRIHODI ZA DECENTRALIZIRANE FUNKCIJE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85.769,00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37.629,99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85.769,00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37.326,99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85.769,00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37.626,99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85.099,00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37.309,09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troškova zaposlenima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6.716,00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5.688,15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85%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Službena putovanja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6.116,00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Stručno usavršavanje zaposlenika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293,18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materijal i energiju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50.480,00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22.116,19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3221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12.400,00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Energija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15.358,38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 i dijelovi za tekuće i investicijsko održavanje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1.150,00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Sitni inventar i auto gume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203,97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Službena, radna i zaštitna odjeća i obuća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103,36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27.093,00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8.956,63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33%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Usluge telefona, pošte i prijevoza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4.050,00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1.561,19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Usluge tekućeg i investicijskog održavanja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Usluge promidžbe i informiranja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Komunalne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4.663,00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Zakupnine i najamnine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1.500,00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Zdravstvene i veterinarske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6.400,00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Intelektualne i osobne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2.900,00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Računalne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2.700,00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810,00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548,12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Reprezentacija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251,00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Članarine i norme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230,76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Financijski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670,00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317,90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financijski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670,00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317,90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Bankarske usluge i usluge platnog prometa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670,00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317,90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47%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3200K320001 KAPITALNA ULAGANJA U OPREMU - DECENTRALIZIRANA SREDSTVA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1.2. POREZNI PRIHODI ZA DECENTRALIZIRANE FUNKCIJE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nefinancijske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422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Postrojenja i oprema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Uredska oprema i namještaj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Oprema za održavanje i zaštitu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Program S02 3201 ŠIRE JAVNE POTREBE - IZNAD MINIMALNOG STANDARDA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317.430,00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205.955,36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3201A320101 SUFINANCIRANJE PRODUŽENOG BORAVKA I CJELODNEVNE NASTAVE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218.647,00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101.343,35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92.853,00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46.035,17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92.853,00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46.035,17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92.853,00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46.035,17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92.853,00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46.035,17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45.789,49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(Bruto)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88.000,00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za redovan rad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88.000,00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43.318,35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2.471,14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2.471,14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1.853,00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245,68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troškova zaposlenima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1.253,00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za prijevoz, za rad na terenu i odvojeni život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1.253,00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245,68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Zdravstvene i veterinarske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245,68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41%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4. PRIHODI ZA POSEBNE NAMJENE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125.794,00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55.308,18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4.3. OSTALI NAMJENSKI PRIHODI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125.794,00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55.308,18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125.794,00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55.308,18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124.473,00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53.707,60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39.788,00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33.490,88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(Bruto)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22.536,52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125%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za redovan rad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22.536,52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125%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3.788,00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3.788,00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313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na plaće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10.954,36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za obvezno zdravstveno osiguranje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10.954,36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84.685,00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21.817,30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troškova zaposlenima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4.700,00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2.104,75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za prijevoz, za rad na terenu i odvojeni život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4.700,00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2.104,75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materijal i energiju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76.735,00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20.665,24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4.385,00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1.681,24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 i sirovine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18.411,95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 i dijelovi za tekuće i investicijsko održavanje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526,79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Sitni inventar i auto gume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Službena, radna i zaštitna odjeća i obuća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45,26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1.650,00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964,88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Usluge telefona, pošte i prijevoza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125,92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Usluge tekućeg i investicijskog održavanja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678,36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113%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Zdravstvene i veterinarske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160,60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Intelektualne i osobne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187,18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Reprezentacija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121,58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65,60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nefinancijske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1.321,00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1.321,00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Postrojenja i oprema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1.321,00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Uređaji, strojevi i oprema za ostale namjene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1.321,00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3201A320102 IZVANNASTAVNE I IZVANŠKOLSKE AKTIVNOSTI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4.135,00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3.706,81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1.062,00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1.062,00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1.062,00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materijal i energiju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nefinancijske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Postrojenja i oprema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Uredska oprema i namještaj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4. PRIHODI ZA POSEBNE NAMJENE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482,00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454,96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94%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4.3. OSTALI NAMJENSKI PRIHODI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482,00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454,96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94%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482,00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454,96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454,96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318,76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(Bruto)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230,45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za redovan rad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230,45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na plaće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88,31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za obvezno zdravstveno osiguranje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88,31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177%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136,20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troškova zaposlenima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106,20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Službena putovanja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106,20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Usluge telefona, pošte i prijevoza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Intelektualne i osobne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182,00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 POMOĆI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2.591,00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3.251,85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126%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5.3. POMOĆI IZ DRŽAVNOG PRORAČUNA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2.581,00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3.251,85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126%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2.581,00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3.251,85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2.581,00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3.251,85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476,78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311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(Bruto)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452,42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za redovan rad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452,42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na plaće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24,36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za obvezno zdravstveno osiguranje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24,36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2.383,00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1.602,09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troškova zaposlenima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860,00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Službena putovanja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710,00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Stručno usavršavanje zaposlenika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materijal i energiju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543,00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139,18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543,00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139,18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830,00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1.006,88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Usluge telefona, pošte i prijevoza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533,85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Intelektualne i osobne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130,00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473,03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364%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Računalne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96,03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Reprezentacija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96,03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64%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1.172,98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Tekuće donacije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1.172,98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3812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Tekuće donacije u naravi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1.172,98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5.4. POMOĆI IZ ŽUPANIJSKOG PRORAČUNA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materijal i energiju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3201A320103 MANIFESTACIJE ODGOJA I ŠKOLSTVA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275,00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 POMOĆI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275,00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lastRenderedPageBreak/>
              <w:t>Izvor 5.4. POMOĆI IZ ŽUPANIJSKOG PRORAČUNA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275,00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275,00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(Bruto)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za redovan rad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na plaće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za obvezno zdravstveno osiguranje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3201A320104 NABAVKA UDŽBENIKA I PRIBORA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29.200,00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građanima i kućanstvima na temelju osiguranja i druge naknade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građanima i kućanstvima u naravi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 POMOĆI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29.200,00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5.3. POMOĆI IZ DRŽAVNOG PRORAČUNA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29.200,00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29.200,00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nefinancijske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Knjige, umjetnička djela i ostale izložbene vrijednosti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4241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Knjige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3201A320111 HITNE INTERVENCIJE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materijal i energiju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Usluge tekućeg i investicijskog održavanja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3201A320113 PROJEKT E ŠKOLE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500,00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3238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Računalne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3201A320114 VLASTITA I NAMJENSKA SREDSTVA OSNOVNIH ŠKOLA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3.575,00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1.957,03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55%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3. VLASTITI PRIHODI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3.001,00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1.579,69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3.1. OSTALI VLASTITI PRIHODI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3.001,00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1.579,69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3.001,00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1.579,69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53%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2.001,00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946,39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2.001,00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946,39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materijal i energiju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1.500,00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221,13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15%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221,13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Sitni inventar i auto gume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317,52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Usluge tekućeg i investicijskog održavanja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Intelektualne i osobne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317,52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407,74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407,74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nefinancijske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633,30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42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Postrojenja i oprema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Uredska oprema i namještaj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633,30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Knjige, umjetnička djela i ostale izložbene vrijednosti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4241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Knjige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7. PRIHODI OD NEFINANCIJSKE IMOVINE I OSIGURANJA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574,00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377,34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7.1. PRIHODI OD PRODAJE ZEMLJIŠTA I OBJEKATA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574,00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377,34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574,00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377,34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574,00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377,34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574,00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377,34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materijal i energiju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 i dijelovi za tekuće i investicijsko održavanje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101,00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Usluge tekućeg i investicijskog održavanja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377,34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373,00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377,34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101%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3201A320116 OSIGURANJE UČENIKA OŠ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1.260,00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4. PRIHODI ZA POSEBNE NAMJENE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1.260,00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4.3. OSTALI NAMJENSKI PRIHODI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1.260,00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1.260,00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1.260,00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1.260,00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1.260,00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1.260,00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3201T320103 EU PROJEKTI OŠ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13.198,00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3.416,09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 POMOĆI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13.198,00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3.416,09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5.2. POMOĆI TEMELJEM PRIJENOSA EU SREDSTAVA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13.198,00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3.416,09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13.198,00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3.416,09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12.198,00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3.416,09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11.998,00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3.377,40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troškova zaposlenima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10.800,00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3.377,40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Službena putovanja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8.800,00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2.417,40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Stručno usavršavanje zaposlenika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960,00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materijal i energiju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1.048,00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3237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Intelektualne i osobne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3239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Ostale usluge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Reprezentacija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Financijski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38,69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financijski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38,69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Bankarske usluge i usluge platnog prometa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38,69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nefinancijske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Postrojenja i oprema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Uredska oprema i namještaj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3201T320105 EU PROJEKT "S POMOĆNIKOM MOGU BOLJE 5"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45.940,00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31,285,31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68%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45.940,00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31.285,31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68%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45.940,00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31.285,31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68%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45.940,00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31.285,31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45.940,00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31.285,31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44.190,00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30.234,93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(Bruto)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35.190,00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za redovan rad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35.190,00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2.100,00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3121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3.200,00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2.100,00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na plaće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5.800,00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za obvezno zdravstveno osiguranje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5.800,00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1.750,00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1.050,38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troškova zaposlenima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1.750,00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1.050,38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Službena putovanja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265,50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za prijevoz, za rad na terenu i odvojeni život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1.750,00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754,88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43%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3201T320107 PREHRANA UČENIKA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63.288,87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 POMOĆI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63.288,87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5.3. POMOĆI IZ DRŽAVNOG PRORAČUNA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63.288,87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63.288,87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63.288,87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63.288,87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materijal i energiju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63.288,87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 i sirovine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63.288,87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#DIV/0!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Program S02 3202 KAPITALNA ULAGANJA NA OBJEKTIMA OŠ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3202K320201 KUPNJA OPREME ZA OSNOVNE ŠKOLE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nefinancijske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Postrojenja i oprema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Uredska oprema i namještaj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3202K320250 NABAVKA ŠKOLSKE LEKTIRE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457,9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457,9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1.1. OPĆI PRIHODI I PRIMICI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457,9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457,9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nefinancijske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457,9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457,9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Knjige, umjetnička djela i ostale izložbene vrijednosti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457,9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4241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Knjige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457,9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46%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 POMOĆI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5.3. POMOĆI IZ DRŽAVNOG PRORAČUNA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nefinancijske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nabavu proizvedene dugotrajne imovine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Knjige, umjetnička djela i ostale izložbene vrijednosti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4241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Knjige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0,00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0%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Program S02 3203 RASHODI ZA ZAPOSLENE U OŠ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1.239.650,00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632.871,41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Aktivnost S02 3203A320301 RASHODI ZA ZAPOSLENE U OŠ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1.239.650,00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632.871,41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 POMOĆI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1.239.650,00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632.871,41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Izvor 5.3. POMOĆI IZ DRŽAVNOG PRORAČUNA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1.239.650,00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632.871,41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590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Funkcijska 0912 Osnovno obrazovanje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1.239.650,00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632.871,41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1.239.650,00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632.871,41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1.206.950,00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613.200,93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(Bruto)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1.008.664,00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511.893,04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3111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Plaće za redovan rad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1.008.664,00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511.893,04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51%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35.100,00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16.801,18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rashodi za zaposlene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35.100,00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16.801,18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48%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na plaće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163.186,00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84.506,71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za obvezno zdravstveno osiguranje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161.196,00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84.399,41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52%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3133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1.990,00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107,30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Materijalni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29.100,00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16.469,63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57%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troškova zaposlenima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19.920,00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9.777,23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3212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Naknade za prijevoz, za rad na terenu i odvojeni život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19.920,00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9.777,23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lastRenderedPageBreak/>
              <w:t>329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9.180,00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6.692,40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73%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3295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Pristojbe i naknade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4.580,00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2.246,18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3296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Troškovi sudskih postupaka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4.446,22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97%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Financijski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3.200,85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Ostali financijski rashodi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3.200,85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89%</w:t>
            </w:r>
          </w:p>
        </w:tc>
      </w:tr>
      <w:tr w:rsidR="00506C29"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3433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94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Zatezne kamate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3.600,00</w:t>
            </w:r>
          </w:p>
        </w:tc>
        <w:tc>
          <w:tcPr>
            <w:tcW w:w="1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6C29" w:rsidRDefault="00506C29">
            <w:pPr>
              <w:widowControl w:val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</w:tcBorders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3.200,85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C29" w:rsidRDefault="00F878F8">
            <w:pPr>
              <w:widowControl w:val="0"/>
              <w:jc w:val="right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89%</w:t>
            </w:r>
          </w:p>
        </w:tc>
      </w:tr>
    </w:tbl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F878F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>3.1. Program: Minimalni financijski standard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06C29" w:rsidRDefault="00F878F8">
      <w:pPr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0"/>
          <w:szCs w:val="20"/>
        </w:rPr>
        <w:t>Redovna programska djelatnost A320001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Ovim programom osiguravaju se sredstva za materijalne i financijske rashode, za materijal, dijelove i usluge tekućeg i investicijskog održavanja i rashode za nabavu proizvedene dugotrajne imovine. Ova sredstva su nužn</w:t>
      </w:r>
      <w:r>
        <w:rPr>
          <w:rFonts w:asciiTheme="minorHAnsi" w:hAnsiTheme="minorHAnsi" w:cstheme="minorHAnsi"/>
          <w:sz w:val="20"/>
          <w:szCs w:val="20"/>
        </w:rPr>
        <w:t xml:space="preserve">a za realizaciju plana i programa osnovnoškolskog obrazovanja. 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Program je realiziran provedbom aktivnosti Redovna programska djelatnost osnovnih škola u visini 44%. Opremu planiramo kupiti u narednom razdoblju. </w:t>
      </w:r>
    </w:p>
    <w:p w:rsidR="00506C29" w:rsidRDefault="00506C29">
      <w:pPr>
        <w:rPr>
          <w:rFonts w:asciiTheme="minorHAnsi" w:hAnsiTheme="minorHAnsi" w:cstheme="minorHAnsi"/>
          <w:sz w:val="20"/>
          <w:szCs w:val="20"/>
        </w:rPr>
      </w:pPr>
    </w:p>
    <w:p w:rsidR="00506C29" w:rsidRDefault="00F878F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3.2.  Program: Šire javne potrebe - iznad </w:t>
      </w:r>
      <w:r>
        <w:rPr>
          <w:rFonts w:asciiTheme="minorHAnsi" w:hAnsiTheme="minorHAnsi" w:cstheme="minorHAnsi"/>
          <w:b/>
          <w:sz w:val="20"/>
          <w:szCs w:val="20"/>
          <w:highlight w:val="yellow"/>
        </w:rPr>
        <w:t>državnog standarda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Ovim programom se ulaže u odgoj i obrazovanje iznad pedagoškog standarda, odnosno njegovo obogaćivanje i proširivanje novim sadržajima, programima, projektima s ciljem obuhvata što većeg broja djece.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Za realizaciju ovog programa u OŠ S</w:t>
      </w:r>
      <w:r>
        <w:rPr>
          <w:rFonts w:asciiTheme="minorHAnsi" w:hAnsiTheme="minorHAnsi" w:cstheme="minorHAnsi"/>
          <w:sz w:val="20"/>
          <w:szCs w:val="20"/>
        </w:rPr>
        <w:t>pinut  osigurala su sredstva u okviru slijedećih aktivnosti:</w:t>
      </w:r>
    </w:p>
    <w:p w:rsidR="00506C29" w:rsidRDefault="00F878F8">
      <w:pPr>
        <w:ind w:left="45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A320101 - Sufinanciranje produženog boravka i cjelodnevne nastave</w:t>
      </w:r>
    </w:p>
    <w:p w:rsidR="00506C29" w:rsidRDefault="00F878F8">
      <w:pPr>
        <w:ind w:left="4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školskoj godini 2022/2023. upisano je 109 djece u  6</w:t>
      </w:r>
      <w:r>
        <w:rPr>
          <w:rFonts w:asciiTheme="minorHAnsi" w:hAnsiTheme="minorHAnsi" w:cstheme="minorHAnsi"/>
          <w:sz w:val="20"/>
          <w:szCs w:val="20"/>
        </w:rPr>
        <w:t xml:space="preserve"> razreda. Ova se aktivnost financira od strane Grada (1.1.1.) i roditelja (4.3.1.).  Obzirom na manji broj djece a jednak broj učiteljica imamo veće troškove u odnosu na planirane  prihode.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Veće odstupanje od plana na poziciji za plaće od strane škole rad</w:t>
      </w:r>
      <w:r>
        <w:rPr>
          <w:rFonts w:asciiTheme="minorHAnsi" w:hAnsiTheme="minorHAnsi" w:cstheme="minorHAnsi"/>
          <w:sz w:val="20"/>
          <w:szCs w:val="20"/>
        </w:rPr>
        <w:t xml:space="preserve">i manjeg broja učenika u razredu što rezultira manjim uplatama, te bolovanjima učiteljica. Grad je u proteklom razdoblju financirao trošak za materijalna prava radnika u produženom boravku,  tipa jubilarne nagrade, pomoći i regres. </w:t>
      </w:r>
    </w:p>
    <w:p w:rsidR="00506C29" w:rsidRDefault="00506C29">
      <w:pPr>
        <w:pStyle w:val="Odlomakpopisa"/>
        <w:ind w:left="405"/>
        <w:rPr>
          <w:rFonts w:asciiTheme="minorHAnsi" w:hAnsiTheme="minorHAnsi" w:cstheme="minorHAnsi"/>
          <w:sz w:val="20"/>
          <w:szCs w:val="20"/>
        </w:rPr>
      </w:pPr>
    </w:p>
    <w:p w:rsidR="00506C29" w:rsidRDefault="00F878F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A320102 - Izvannastavn</w:t>
      </w:r>
      <w:r>
        <w:rPr>
          <w:rFonts w:asciiTheme="minorHAnsi" w:hAnsiTheme="minorHAnsi" w:cstheme="minorHAnsi"/>
          <w:b/>
          <w:sz w:val="20"/>
          <w:szCs w:val="20"/>
        </w:rPr>
        <w:t>e i izvanškolske aktivnosti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506C29" w:rsidRDefault="00F878F8">
      <w:pPr>
        <w:pStyle w:val="Odlomakpopisa"/>
        <w:ind w:left="40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Izvannastavne i izvanškolske aktivnosti bile su financirane iz različitih izvora: grada, uplata učenika i roditelja (4.3.1.) te uplata za stručne ispite iz kemije.- rashodi za  popravak tableta, naknade za članove komisije za p</w:t>
      </w:r>
      <w:r>
        <w:rPr>
          <w:rFonts w:asciiTheme="minorHAnsi" w:hAnsiTheme="minorHAnsi" w:cstheme="minorHAnsi"/>
          <w:sz w:val="20"/>
          <w:szCs w:val="20"/>
        </w:rPr>
        <w:t>olaganje ispita.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A320125 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– S pomoćnikom mogu bolje V 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Ovaj projekt je vezan za šk. God. 2022/2023 i u njega je uključeno  8 pomoćnika u nastavi. Realiziran je 68% u odnosu na plan.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A320114 </w:t>
      </w:r>
      <w:r>
        <w:rPr>
          <w:rFonts w:asciiTheme="minorHAnsi" w:hAnsiTheme="minorHAnsi" w:cstheme="minorHAnsi"/>
          <w:sz w:val="20"/>
          <w:szCs w:val="20"/>
          <w:u w:val="single"/>
        </w:rPr>
        <w:t>- Vlastita i n</w:t>
      </w:r>
      <w:r>
        <w:rPr>
          <w:rFonts w:ascii="Calibri" w:hAnsi="Calibri"/>
          <w:u w:val="single"/>
        </w:rPr>
        <w:t>amjenska sredstva OŠ</w:t>
      </w:r>
    </w:p>
    <w:p w:rsidR="00506C29" w:rsidRDefault="00F878F8">
      <w:pPr>
        <w:rPr>
          <w:rFonts w:ascii="Calibri" w:hAnsi="Calibri"/>
        </w:rPr>
      </w:pPr>
      <w:r>
        <w:rPr>
          <w:rFonts w:ascii="Calibri" w:hAnsi="Calibri"/>
        </w:rPr>
        <w:t xml:space="preserve">U  razdoblju 01-06/2023. godine </w:t>
      </w:r>
      <w:r>
        <w:rPr>
          <w:rFonts w:ascii="Calibri" w:hAnsi="Calibri"/>
        </w:rPr>
        <w:t xml:space="preserve">smo vlastitim prihodima od najma prostora i prodaje proizvoda iz akcije “Naša škola naša briga”  financirali  kupnju materijala za potrebe akcije. Obnovili smo školsku binu, podmirili trošak razglasa  i raznih aktivnosti. Od ostatka prikupljenih sredstava </w:t>
      </w:r>
      <w:r>
        <w:rPr>
          <w:rFonts w:ascii="Calibri" w:hAnsi="Calibri"/>
        </w:rPr>
        <w:t xml:space="preserve">se planira kupnja knjiga i opreme za knjižnicu. </w:t>
      </w:r>
    </w:p>
    <w:p w:rsidR="00506C29" w:rsidRDefault="00F878F8">
      <w:pPr>
        <w:rPr>
          <w:rFonts w:ascii="Calibri" w:hAnsi="Calibri"/>
        </w:rPr>
      </w:pPr>
      <w:r>
        <w:rPr>
          <w:rFonts w:ascii="Calibri" w:hAnsi="Calibri"/>
        </w:rPr>
        <w:t>Škola ostvaruje prihod od prodaje 2 stana na kojima postoji stanarsko pravo. Nakon što se 65% prihoda od prodaje uplati u državni proračun, ostatak ćemo potrošiti na materijal  i usluge tekućeg i investicijs</w:t>
      </w:r>
      <w:r>
        <w:rPr>
          <w:rFonts w:ascii="Calibri" w:hAnsi="Calibri"/>
        </w:rPr>
        <w:t xml:space="preserve">kog održavanja. </w:t>
      </w:r>
    </w:p>
    <w:p w:rsidR="00506C29" w:rsidRDefault="00F878F8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  <w:u w:val="single"/>
        </w:rPr>
        <w:t>A320113 – Projekt e-škole</w:t>
      </w:r>
      <w:r>
        <w:rPr>
          <w:rFonts w:ascii="Calibri" w:hAnsi="Calibri"/>
          <w:b/>
          <w:bCs/>
          <w:sz w:val="20"/>
          <w:szCs w:val="20"/>
        </w:rPr>
        <w:t xml:space="preserve"> 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Ovo je projekt kojim se financira stručna tehnička podrška u cilju što boljeg i efikasnijeg održavanja informatičke opreme i realizira se u skladu s planom.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Cs/>
          <w:u w:val="single"/>
        </w:rPr>
        <w:t>T320103 / T 320119 EU PROJEKTI OŠ</w:t>
      </w:r>
    </w:p>
    <w:p w:rsidR="00506C29" w:rsidRDefault="00F878F8">
      <w:pPr>
        <w:rPr>
          <w:rFonts w:ascii="Calibri" w:hAnsi="Calibri"/>
        </w:rPr>
      </w:pPr>
      <w:r>
        <w:rPr>
          <w:rFonts w:ascii="Calibri" w:hAnsi="Calibri"/>
        </w:rPr>
        <w:t>Kroz ovu aktivnost se kontinuirano provode Erasmus projekti OŠ Spinut. U prošloj godini je odobren novi projekt: “ Kodiram   i  budućnost programiram” . U projektu je 2022. realizirano   6 mobilnosti u Italiji i Španjolskoj, a u  2023. još 2 mobilnosti u M</w:t>
      </w:r>
      <w:r>
        <w:rPr>
          <w:rFonts w:ascii="Calibri" w:hAnsi="Calibri"/>
        </w:rPr>
        <w:t xml:space="preserve">ađarskoj. </w:t>
      </w:r>
    </w:p>
    <w:p w:rsidR="00506C29" w:rsidRDefault="00F878F8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Aktivnost S02 320107 PREHRANA UČENIKA</w:t>
      </w:r>
    </w:p>
    <w:p w:rsidR="00506C29" w:rsidRDefault="00F878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 aktivnost je  realizirana iz sredstava državnog proračuna i to u iznosu od 1,33 eur po danu za svakog učenika na nastavi. Sredstva su utrošena u iznosu od 63.288,87 eur.</w:t>
      </w:r>
    </w:p>
    <w:p w:rsidR="00506C29" w:rsidRDefault="00F878F8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b/>
          <w:highlight w:val="yellow"/>
        </w:rPr>
        <w:t>3.3</w:t>
      </w:r>
      <w:r>
        <w:rPr>
          <w:rFonts w:ascii="Calibri" w:hAnsi="Calibri"/>
          <w:highlight w:val="yellow"/>
        </w:rPr>
        <w:t xml:space="preserve">  </w:t>
      </w:r>
      <w:r>
        <w:rPr>
          <w:rFonts w:ascii="Calibri" w:hAnsi="Calibri"/>
          <w:b/>
          <w:bCs/>
          <w:highlight w:val="yellow"/>
        </w:rPr>
        <w:t>Rashodi za zaposlene u OŠ  A</w:t>
      </w:r>
      <w:r>
        <w:rPr>
          <w:b/>
          <w:bCs/>
          <w:highlight w:val="yellow"/>
        </w:rPr>
        <w:t>320301</w:t>
      </w:r>
    </w:p>
    <w:p w:rsidR="00506C29" w:rsidRDefault="00F878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Rashodi za zaposlene MZO ima najveći udio u ukupnim rashodima Škole koji se odnose na rashode za zaposlene (plaće, prijevoz i ostala mat. prava zaposlenika, isplate po  pravomoćnim presudama). Zatezne kamate i troškove sudskih postupaka odnose se na</w:t>
      </w:r>
      <w:r>
        <w:rPr>
          <w:rFonts w:asciiTheme="minorHAnsi" w:hAnsiTheme="minorHAnsi" w:cstheme="minorHAnsi"/>
        </w:rPr>
        <w:t xml:space="preserve"> presude koji su zaposlenici dobili za plaće iz 2016. i 2017. godine. Sredstva su utrošena visini od 51% planiranih.</w:t>
      </w:r>
    </w:p>
    <w:p w:rsidR="00506C29" w:rsidRDefault="00506C29">
      <w:pPr>
        <w:rPr>
          <w:rFonts w:asciiTheme="minorHAnsi" w:hAnsiTheme="minorHAnsi" w:cstheme="minorHAnsi"/>
        </w:rPr>
      </w:pPr>
    </w:p>
    <w:p w:rsidR="00506C29" w:rsidRDefault="00506C29">
      <w:pPr>
        <w:rPr>
          <w:rFonts w:asciiTheme="minorHAnsi" w:hAnsiTheme="minorHAnsi" w:cstheme="minorHAnsi"/>
          <w:sz w:val="20"/>
          <w:szCs w:val="20"/>
        </w:rPr>
      </w:pPr>
    </w:p>
    <w:p w:rsidR="00506C29" w:rsidRDefault="00506C29">
      <w:pPr>
        <w:rPr>
          <w:rFonts w:asciiTheme="minorHAnsi" w:hAnsiTheme="minorHAnsi" w:cstheme="minorHAnsi"/>
          <w:sz w:val="20"/>
          <w:szCs w:val="20"/>
        </w:rPr>
      </w:pPr>
    </w:p>
    <w:p w:rsidR="00506C29" w:rsidRDefault="00506C29">
      <w:pPr>
        <w:rPr>
          <w:rFonts w:asciiTheme="minorHAnsi" w:hAnsiTheme="minorHAnsi" w:cstheme="minorHAnsi"/>
          <w:sz w:val="20"/>
          <w:szCs w:val="20"/>
        </w:rPr>
      </w:pPr>
    </w:p>
    <w:p w:rsidR="00506C29" w:rsidRDefault="00506C29">
      <w:pPr>
        <w:rPr>
          <w:rFonts w:asciiTheme="minorHAnsi" w:hAnsiTheme="minorHAnsi" w:cstheme="minorHAnsi"/>
        </w:rPr>
      </w:pPr>
    </w:p>
    <w:p w:rsidR="00506C29" w:rsidRDefault="00506C29">
      <w:pPr>
        <w:rPr>
          <w:rFonts w:asciiTheme="minorHAnsi" w:hAnsiTheme="minorHAnsi" w:cstheme="minorHAnsi"/>
          <w:sz w:val="20"/>
          <w:szCs w:val="20"/>
        </w:rPr>
      </w:pPr>
    </w:p>
    <w:p w:rsidR="00506C29" w:rsidRDefault="00506C29">
      <w:pPr>
        <w:pStyle w:val="Odlomakpopisa"/>
        <w:spacing w:after="160" w:line="259" w:lineRule="auto"/>
        <w:ind w:left="1287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06C29" w:rsidRDefault="00506C29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:rsidR="00506C29" w:rsidRDefault="00F878F8">
      <w:pPr>
        <w:spacing w:after="160" w:line="259" w:lineRule="auto"/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</w:t>
      </w:r>
    </w:p>
    <w:p w:rsidR="00506C29" w:rsidRDefault="00F878F8">
      <w:pPr>
        <w:spacing w:line="360" w:lineRule="auto"/>
        <w:ind w:left="6372" w:firstLine="708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lastRenderedPageBreak/>
        <w:t>Ravnateljica</w:t>
      </w:r>
    </w:p>
    <w:p w:rsidR="00506C29" w:rsidRDefault="00F878F8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</w:r>
      <w:r>
        <w:rPr>
          <w:rFonts w:asciiTheme="minorHAnsi" w:hAnsiTheme="minorHAnsi" w:cstheme="minorHAnsi"/>
          <w:sz w:val="24"/>
          <w:szCs w:val="24"/>
          <w:lang w:val="hr-HR"/>
        </w:rPr>
        <w:tab/>
        <w:t>___________________</w:t>
      </w:r>
    </w:p>
    <w:p w:rsidR="00506C29" w:rsidRDefault="00F878F8">
      <w:pPr>
        <w:spacing w:line="360" w:lineRule="auto"/>
        <w:ind w:left="6372" w:firstLine="708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Sanja Čagalj prof.</w:t>
      </w:r>
    </w:p>
    <w:sectPr w:rsidR="00506C29">
      <w:headerReference w:type="default" r:id="rId9"/>
      <w:footerReference w:type="default" r:id="rId10"/>
      <w:pgSz w:w="11906" w:h="16838"/>
      <w:pgMar w:top="765" w:right="1304" w:bottom="1990" w:left="1417" w:header="708" w:footer="1191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F8" w:rsidRDefault="00F878F8">
      <w:pPr>
        <w:spacing w:after="0"/>
      </w:pPr>
      <w:r>
        <w:separator/>
      </w:r>
    </w:p>
  </w:endnote>
  <w:endnote w:type="continuationSeparator" w:id="0">
    <w:p w:rsidR="00F878F8" w:rsidRDefault="00F878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38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32834"/>
      <w:docPartObj>
        <w:docPartGallery w:val="Page Numbers (Bottom of Page)"/>
        <w:docPartUnique/>
      </w:docPartObj>
    </w:sdtPr>
    <w:sdtEndPr/>
    <w:sdtContent>
      <w:p w:rsidR="00506C29" w:rsidRDefault="00F878F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94" w:rsidRPr="00731B94">
          <w:rPr>
            <w:noProof/>
            <w:lang w:val="hr-HR"/>
          </w:rPr>
          <w:t>2</w:t>
        </w:r>
        <w:r>
          <w:fldChar w:fldCharType="end"/>
        </w:r>
      </w:p>
    </w:sdtContent>
  </w:sdt>
  <w:p w:rsidR="00506C29" w:rsidRDefault="00506C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F8" w:rsidRDefault="00F878F8">
      <w:pPr>
        <w:spacing w:after="0"/>
      </w:pPr>
      <w:r>
        <w:separator/>
      </w:r>
    </w:p>
  </w:footnote>
  <w:footnote w:type="continuationSeparator" w:id="0">
    <w:p w:rsidR="00F878F8" w:rsidRDefault="00F878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29" w:rsidRDefault="00506C29">
    <w:pPr>
      <w:pStyle w:val="Zaglavlje"/>
      <w:jc w:val="center"/>
    </w:pPr>
  </w:p>
  <w:p w:rsidR="00506C29" w:rsidRDefault="00506C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254A"/>
    <w:multiLevelType w:val="multilevel"/>
    <w:tmpl w:val="42CE31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D1447F"/>
    <w:multiLevelType w:val="multilevel"/>
    <w:tmpl w:val="0ACC77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29"/>
    <w:rsid w:val="00506C29"/>
    <w:rsid w:val="00731B94"/>
    <w:rsid w:val="00F8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5A874-357C-472C-834C-662859EC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paragraph" w:styleId="Naslov1">
    <w:name w:val="heading 1"/>
    <w:basedOn w:val="Normal"/>
    <w:next w:val="Normal"/>
    <w:link w:val="Naslov1Char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Pr>
      <w:rFonts w:eastAsiaTheme="majorEastAsia" w:cstheme="majorBidi"/>
      <w:caps/>
      <w:color w:val="632423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Pr>
      <w:caps/>
      <w:color w:val="632423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Pr>
      <w:rFonts w:eastAsiaTheme="majorEastAsia" w:cstheme="majorBidi"/>
      <w:caps/>
      <w:color w:val="622423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Pr>
      <w:rFonts w:eastAsiaTheme="majorEastAsia" w:cstheme="majorBidi"/>
      <w:caps/>
      <w:color w:val="622423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Pr>
      <w:rFonts w:eastAsiaTheme="majorEastAsia" w:cstheme="majorBidi"/>
      <w:caps/>
      <w:color w:val="622423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Pr>
      <w:rFonts w:eastAsiaTheme="majorEastAsia" w:cstheme="majorBidi"/>
      <w:caps/>
      <w:color w:val="943634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Pr>
      <w:rFonts w:eastAsiaTheme="majorEastAsia" w:cstheme="majorBidi"/>
      <w:i/>
      <w:iCs/>
      <w:caps/>
      <w:color w:val="943634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NaslovChar">
    <w:name w:val="Naslov Char"/>
    <w:basedOn w:val="Zadanifontodlomka"/>
    <w:link w:val="Naslov"/>
    <w:uiPriority w:val="10"/>
    <w:qFormat/>
    <w:rPr>
      <w:rFonts w:eastAsiaTheme="majorEastAsia" w:cstheme="majorBidi"/>
      <w:caps/>
      <w:color w:val="632423"/>
      <w:spacing w:val="50"/>
      <w:sz w:val="44"/>
      <w:szCs w:val="44"/>
    </w:rPr>
  </w:style>
  <w:style w:type="character" w:customStyle="1" w:styleId="PodnaslovChar">
    <w:name w:val="Podnaslov Char"/>
    <w:basedOn w:val="Zadanifontodlomka"/>
    <w:link w:val="Podnaslov"/>
    <w:uiPriority w:val="11"/>
    <w:qFormat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basedOn w:val="Zadanifontodlomka"/>
    <w:uiPriority w:val="22"/>
    <w:qFormat/>
    <w:rPr>
      <w:b/>
      <w:bCs/>
      <w:color w:val="943634"/>
      <w:spacing w:val="5"/>
    </w:rPr>
  </w:style>
  <w:style w:type="character" w:customStyle="1" w:styleId="Isticanje">
    <w:name w:val="Isticanje"/>
    <w:basedOn w:val="Zadanifontodlomka"/>
    <w:uiPriority w:val="20"/>
    <w:qFormat/>
    <w:rPr>
      <w:caps/>
      <w:spacing w:val="5"/>
      <w:sz w:val="20"/>
      <w:szCs w:val="20"/>
    </w:rPr>
  </w:style>
  <w:style w:type="character" w:customStyle="1" w:styleId="BezproredaChar">
    <w:name w:val="Bez proreda Char"/>
    <w:basedOn w:val="Zadanifontodlomka"/>
    <w:link w:val="Bezproreda1"/>
    <w:uiPriority w:val="1"/>
    <w:qFormat/>
  </w:style>
  <w:style w:type="character" w:customStyle="1" w:styleId="CitatChar">
    <w:name w:val="Citat Char"/>
    <w:basedOn w:val="Zadanifontodlomka"/>
    <w:link w:val="Citat"/>
    <w:uiPriority w:val="29"/>
    <w:qFormat/>
    <w:rPr>
      <w:rFonts w:eastAsiaTheme="majorEastAsia" w:cstheme="majorBidi"/>
      <w:i/>
      <w:iCs/>
    </w:rPr>
  </w:style>
  <w:style w:type="character" w:customStyle="1" w:styleId="NaglaencitatChar">
    <w:name w:val="Naglašen citat Char"/>
    <w:basedOn w:val="Zadanifontodlomka"/>
    <w:uiPriority w:val="30"/>
    <w:qFormat/>
    <w:rPr>
      <w:rFonts w:eastAsiaTheme="majorEastAsia" w:cstheme="majorBidi"/>
      <w:caps/>
      <w:color w:val="622423"/>
      <w:spacing w:val="5"/>
      <w:sz w:val="20"/>
      <w:szCs w:val="20"/>
    </w:rPr>
  </w:style>
  <w:style w:type="character" w:customStyle="1" w:styleId="Neupadljivoisticanje1">
    <w:name w:val="Neupadljivo isticanje1"/>
    <w:basedOn w:val="Zadanifontodlomka"/>
    <w:uiPriority w:val="19"/>
    <w:qFormat/>
    <w:rPr>
      <w:i/>
      <w:iCs/>
    </w:rPr>
  </w:style>
  <w:style w:type="character" w:customStyle="1" w:styleId="Jakoisticanje1">
    <w:name w:val="Jako isticanje1"/>
    <w:basedOn w:val="Zadanifontodlomka"/>
    <w:uiPriority w:val="21"/>
    <w:qFormat/>
    <w:rPr>
      <w:i/>
      <w:iCs/>
      <w:caps/>
      <w:spacing w:val="10"/>
      <w:sz w:val="20"/>
      <w:szCs w:val="20"/>
    </w:rPr>
  </w:style>
  <w:style w:type="character" w:customStyle="1" w:styleId="Neupadljivareferenca1">
    <w:name w:val="Neupadljiva referenca1"/>
    <w:basedOn w:val="Zadanifontodlomka"/>
    <w:uiPriority w:val="31"/>
    <w:qFormat/>
    <w:rPr>
      <w:rFonts w:asciiTheme="minorHAnsi" w:eastAsiaTheme="minorEastAsia" w:hAnsiTheme="minorHAnsi" w:cstheme="minorBidi"/>
      <w:i/>
      <w:iCs/>
      <w:color w:val="622423"/>
    </w:rPr>
  </w:style>
  <w:style w:type="character" w:customStyle="1" w:styleId="Istaknutareferenca1">
    <w:name w:val="Istaknuta referenca1"/>
    <w:basedOn w:val="Zadanifontodlomka"/>
    <w:uiPriority w:val="32"/>
    <w:qFormat/>
    <w:rPr>
      <w:rFonts w:asciiTheme="minorHAnsi" w:eastAsiaTheme="minorEastAsia" w:hAnsiTheme="minorHAnsi" w:cstheme="minorBidi"/>
      <w:b/>
      <w:bCs/>
      <w:i/>
      <w:iCs/>
      <w:color w:val="622423"/>
    </w:rPr>
  </w:style>
  <w:style w:type="character" w:customStyle="1" w:styleId="Naslovknjige1">
    <w:name w:val="Naslov knjige1"/>
    <w:basedOn w:val="Zadanifontodlomka"/>
    <w:uiPriority w:val="33"/>
    <w:qFormat/>
    <w:rPr>
      <w:caps/>
      <w:color w:val="622423"/>
      <w:spacing w:val="5"/>
      <w:u w:val="none" w:color="622423"/>
    </w:rPr>
  </w:style>
  <w:style w:type="character" w:customStyle="1" w:styleId="TekstbaloniaChar">
    <w:name w:val="Tekst balončića Char"/>
    <w:basedOn w:val="Zadanifontodlo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uiPriority w:val="99"/>
    <w:qFormat/>
  </w:style>
  <w:style w:type="character" w:customStyle="1" w:styleId="Internetskapoveznica">
    <w:name w:val="Internetska poveznica"/>
    <w:basedOn w:val="Zadanifontodlomka"/>
    <w:uiPriority w:val="99"/>
    <w:semiHidden/>
    <w:unhideWhenUsed/>
    <w:rPr>
      <w:color w:val="0000FF"/>
      <w:u w:val="single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Pr>
      <w:color w:val="800080"/>
      <w:u w:val="single"/>
    </w:rPr>
  </w:style>
  <w:style w:type="character" w:customStyle="1" w:styleId="Referencakomentara1">
    <w:name w:val="Referenca komentara1"/>
    <w:basedOn w:val="Zadanifontodlomka"/>
    <w:uiPriority w:val="99"/>
    <w:semiHidden/>
    <w:unhideWhenUsed/>
    <w:qFormat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qFormat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qFormat/>
    <w:rPr>
      <w:b/>
      <w:bCs/>
      <w:sz w:val="20"/>
      <w:szCs w:val="20"/>
    </w:rPr>
  </w:style>
  <w:style w:type="character" w:customStyle="1" w:styleId="Znakovifusnota">
    <w:name w:val="Znakovi fusnota"/>
    <w:basedOn w:val="Zadanifontodlomka"/>
    <w:qFormat/>
  </w:style>
  <w:style w:type="character" w:customStyle="1" w:styleId="Sidrofusnote">
    <w:name w:val="Sidro fusnote"/>
    <w:basedOn w:val="Zadanifontodlomka"/>
    <w:rPr>
      <w:vertAlign w:val="superscript"/>
    </w:rPr>
  </w:style>
  <w:style w:type="character" w:customStyle="1" w:styleId="Znakovizavrnihbiljeki">
    <w:name w:val="Znakovi završnih bilješki"/>
    <w:basedOn w:val="Zadanifontodlomka"/>
    <w:qFormat/>
  </w:style>
  <w:style w:type="character" w:customStyle="1" w:styleId="Sidrozavrnebiljeke">
    <w:name w:val="Sidro završne bilješke"/>
    <w:basedOn w:val="Zadanifontodlomka"/>
    <w:rPr>
      <w:vertAlign w:val="superscript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next w:val="Normal"/>
    <w:uiPriority w:val="35"/>
    <w:semiHidden/>
    <w:unhideWhenUsed/>
    <w:qFormat/>
    <w:rPr>
      <w:caps/>
      <w:spacing w:val="10"/>
      <w:sz w:val="18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after="560"/>
      <w:jc w:val="center"/>
    </w:pPr>
    <w:rPr>
      <w:caps/>
      <w:spacing w:val="20"/>
      <w:sz w:val="18"/>
      <w:szCs w:val="18"/>
    </w:rPr>
  </w:style>
  <w:style w:type="paragraph" w:customStyle="1" w:styleId="Bezproreda1">
    <w:name w:val="Bez proreda1"/>
    <w:basedOn w:val="Normal"/>
    <w:link w:val="BezproredaChar"/>
    <w:uiPriority w:val="1"/>
    <w:qFormat/>
    <w:pPr>
      <w:spacing w:after="0"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Pr>
      <w:i/>
      <w:iCs/>
    </w:rPr>
  </w:style>
  <w:style w:type="paragraph" w:customStyle="1" w:styleId="Naglaencitat1">
    <w:name w:val="Naglašen citat1"/>
    <w:basedOn w:val="Normal"/>
    <w:next w:val="Normal"/>
    <w:uiPriority w:val="30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paragraph" w:customStyle="1" w:styleId="TOCNaslov1">
    <w:name w:val="TOC Naslov1"/>
    <w:basedOn w:val="Naslov1"/>
    <w:next w:val="Normal"/>
    <w:uiPriority w:val="39"/>
    <w:semiHidden/>
    <w:unhideWhenUsed/>
    <w:qFormat/>
  </w:style>
  <w:style w:type="paragraph" w:styleId="Tekstbalonia">
    <w:name w:val="Balloon Text"/>
    <w:basedOn w:val="Normal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/>
    </w:p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/>
    </w:pPr>
  </w:style>
  <w:style w:type="paragraph" w:customStyle="1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hr-HR" w:eastAsia="hr-HR" w:bidi="ar-SA"/>
    </w:rPr>
  </w:style>
  <w:style w:type="paragraph" w:customStyle="1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3">
    <w:name w:val="xl7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4">
    <w:name w:val="xl74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75">
    <w:name w:val="xl75"/>
    <w:basedOn w:val="Normal"/>
    <w:qFormat/>
    <w:pPr>
      <w:spacing w:beforeAutospacing="1" w:afterAutospacing="1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customStyle="1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0">
    <w:name w:val="xl8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85">
    <w:name w:val="xl85"/>
    <w:basedOn w:val="Normal"/>
    <w:qFormat/>
    <w:pPr>
      <w:spacing w:beforeAutospacing="1" w:afterAutospacing="1"/>
    </w:pPr>
    <w:rPr>
      <w:rFonts w:ascii="Arial" w:eastAsia="Times New Roman" w:hAnsi="Arial" w:cs="Arial"/>
      <w:b/>
      <w:bCs/>
      <w:sz w:val="24"/>
      <w:szCs w:val="24"/>
      <w:lang w:val="hr-HR" w:eastAsia="hr-HR" w:bidi="ar-SA"/>
    </w:rPr>
  </w:style>
  <w:style w:type="paragraph" w:customStyle="1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val="hr-HR" w:eastAsia="hr-HR" w:bidi="ar-SA"/>
    </w:rPr>
  </w:style>
  <w:style w:type="paragraph" w:customStyle="1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6"/>
      <w:szCs w:val="16"/>
      <w:lang w:val="hr-HR" w:eastAsia="hr-HR" w:bidi="ar-SA"/>
    </w:rPr>
  </w:style>
  <w:style w:type="paragraph" w:customStyle="1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0">
    <w:name w:val="xl9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1">
    <w:name w:val="xl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color w:val="000000"/>
      <w:sz w:val="16"/>
      <w:szCs w:val="16"/>
      <w:lang w:val="hr-HR" w:eastAsia="hr-HR" w:bidi="ar-SA"/>
    </w:rPr>
  </w:style>
  <w:style w:type="paragraph" w:customStyle="1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4">
    <w:name w:val="xl9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96">
    <w:name w:val="xl9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97">
    <w:name w:val="xl9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98">
    <w:name w:val="xl9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00">
    <w:name w:val="xl10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01">
    <w:name w:val="xl10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</w:pPr>
    <w:rPr>
      <w:rFonts w:ascii="Arial" w:eastAsia="Times New Roman" w:hAnsi="Arial" w:cs="Arial"/>
      <w:i/>
      <w:iCs/>
      <w:sz w:val="18"/>
      <w:szCs w:val="18"/>
      <w:lang w:val="hr-HR" w:eastAsia="hr-HR" w:bidi="ar-SA"/>
    </w:rPr>
  </w:style>
  <w:style w:type="paragraph" w:customStyle="1" w:styleId="xl102">
    <w:name w:val="xl10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/>
    </w:pPr>
    <w:rPr>
      <w:rFonts w:ascii="Arial" w:eastAsia="Times New Roman" w:hAnsi="Arial" w:cs="Arial"/>
      <w:sz w:val="18"/>
      <w:szCs w:val="18"/>
      <w:lang w:val="hr-HR" w:eastAsia="hr-HR" w:bidi="ar-SA"/>
    </w:rPr>
  </w:style>
  <w:style w:type="paragraph" w:customStyle="1" w:styleId="xl105">
    <w:name w:val="xl10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/>
    </w:pPr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customStyle="1" w:styleId="xl106">
    <w:name w:val="xl10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08">
    <w:name w:val="xl10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/>
      <w:jc w:val="right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09">
    <w:name w:val="xl10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Autospacing="1" w:afterAutospacing="1"/>
      <w:jc w:val="right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val="hr-HR" w:eastAsia="hr-HR" w:bidi="ar-SA"/>
    </w:rPr>
  </w:style>
  <w:style w:type="paragraph" w:customStyle="1" w:styleId="xl110">
    <w:name w:val="xl11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11">
    <w:name w:val="xl11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sz w:val="16"/>
      <w:szCs w:val="16"/>
      <w:lang w:val="hr-HR" w:eastAsia="hr-HR" w:bidi="ar-SA"/>
    </w:rPr>
  </w:style>
  <w:style w:type="paragraph" w:customStyle="1" w:styleId="xl112">
    <w:name w:val="xl11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3">
    <w:name w:val="xl113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4">
    <w:name w:val="xl11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font5">
    <w:name w:val="font5"/>
    <w:basedOn w:val="Normal"/>
    <w:qFormat/>
    <w:pPr>
      <w:spacing w:beforeAutospacing="1" w:afterAutospacing="1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font6">
    <w:name w:val="font6"/>
    <w:basedOn w:val="Normal"/>
    <w:qFormat/>
    <w:pPr>
      <w:spacing w:beforeAutospacing="1" w:afterAutospacing="1"/>
    </w:pPr>
    <w:rPr>
      <w:rFonts w:ascii="Arial" w:eastAsia="Times New Roman" w:hAnsi="Arial" w:cs="Arial"/>
      <w:b/>
      <w:bCs/>
      <w:i/>
      <w:iCs/>
      <w:sz w:val="24"/>
      <w:szCs w:val="24"/>
      <w:lang w:val="hr-HR" w:eastAsia="hr-HR" w:bidi="ar-SA"/>
    </w:rPr>
  </w:style>
  <w:style w:type="paragraph" w:customStyle="1" w:styleId="xl115">
    <w:name w:val="xl11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16">
    <w:name w:val="xl11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17">
    <w:name w:val="xl11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EF3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hr-HR" w:eastAsia="hr-HR" w:bidi="ar-SA"/>
    </w:rPr>
  </w:style>
  <w:style w:type="paragraph" w:customStyle="1" w:styleId="xl118">
    <w:name w:val="xl11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19">
    <w:name w:val="xl119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0">
    <w:name w:val="xl120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1">
    <w:name w:val="xl121"/>
    <w:basedOn w:val="Normal"/>
    <w:qFormat/>
    <w:pP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hr-HR" w:eastAsia="hr-HR" w:bidi="ar-SA"/>
    </w:rPr>
  </w:style>
  <w:style w:type="paragraph" w:customStyle="1" w:styleId="xl122">
    <w:name w:val="xl12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23">
    <w:name w:val="xl123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24">
    <w:name w:val="xl124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25">
    <w:name w:val="xl12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6">
    <w:name w:val="xl12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7">
    <w:name w:val="xl12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4"/>
      <w:szCs w:val="14"/>
      <w:lang w:val="hr-HR" w:eastAsia="hr-HR" w:bidi="ar-SA"/>
    </w:rPr>
  </w:style>
  <w:style w:type="paragraph" w:customStyle="1" w:styleId="xl128">
    <w:name w:val="xl12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29">
    <w:name w:val="xl12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eastAsia="Times New Roman" w:hAnsi="Arial" w:cs="Arial"/>
      <w:i/>
      <w:iCs/>
      <w:sz w:val="16"/>
      <w:szCs w:val="16"/>
      <w:lang w:val="hr-HR" w:eastAsia="hr-HR" w:bidi="ar-SA"/>
    </w:rPr>
  </w:style>
  <w:style w:type="paragraph" w:customStyle="1" w:styleId="xl130">
    <w:name w:val="xl13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1">
    <w:name w:val="xl131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2">
    <w:name w:val="xl132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3">
    <w:name w:val="xl133"/>
    <w:basedOn w:val="Normal"/>
    <w:qFormat/>
    <w:pP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val="hr-HR" w:eastAsia="hr-HR" w:bidi="ar-SA"/>
    </w:rPr>
  </w:style>
  <w:style w:type="paragraph" w:customStyle="1" w:styleId="xl134">
    <w:name w:val="xl13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val="hr-HR" w:eastAsia="hr-HR" w:bidi="ar-SA"/>
    </w:rPr>
  </w:style>
  <w:style w:type="paragraph" w:customStyle="1" w:styleId="xl135">
    <w:name w:val="xl135"/>
    <w:basedOn w:val="Normal"/>
    <w:qFormat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36">
    <w:name w:val="xl13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qFormat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qFormat/>
    <w:rPr>
      <w:b/>
      <w:bCs/>
    </w:rPr>
  </w:style>
  <w:style w:type="paragraph" w:customStyle="1" w:styleId="msonormal0">
    <w:name w:val="msonormal"/>
    <w:basedOn w:val="Normal"/>
    <w:qFormat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37">
    <w:name w:val="xl13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E75"/>
      <w:spacing w:beforeAutospacing="1" w:afterAutospacing="1"/>
      <w:textAlignment w:val="center"/>
    </w:pPr>
    <w:rPr>
      <w:rFonts w:ascii="Arial" w:eastAsia="Times New Roman" w:hAnsi="Arial" w:cs="Arial"/>
      <w:color w:val="000000"/>
      <w:sz w:val="12"/>
      <w:szCs w:val="12"/>
      <w:lang w:val="hr-HR" w:eastAsia="hr-HR" w:bidi="ar-SA"/>
    </w:rPr>
  </w:style>
  <w:style w:type="paragraph" w:customStyle="1" w:styleId="xl138">
    <w:name w:val="xl13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eastAsia="Times New Roman" w:hAnsi="Arial" w:cs="Arial"/>
      <w:sz w:val="12"/>
      <w:szCs w:val="12"/>
      <w:lang w:val="hr-HR" w:eastAsia="hr-HR" w:bidi="ar-SA"/>
    </w:rPr>
  </w:style>
  <w:style w:type="paragraph" w:customStyle="1" w:styleId="xl139">
    <w:name w:val="xl13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1C1FF"/>
      <w:spacing w:beforeAutospacing="1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0">
    <w:name w:val="xl14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1E1FF"/>
      <w:spacing w:beforeAutospacing="1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1">
    <w:name w:val="xl14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535FF"/>
      <w:spacing w:beforeAutospacing="1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2">
    <w:name w:val="xl14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CA9FE"/>
      <w:spacing w:beforeAutospacing="1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 w:bidi="ar-SA"/>
    </w:rPr>
  </w:style>
  <w:style w:type="paragraph" w:customStyle="1" w:styleId="xl143">
    <w:name w:val="xl14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80"/>
      <w:spacing w:beforeAutospacing="1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4">
    <w:name w:val="xl14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00CE"/>
      <w:spacing w:beforeAutospacing="1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5">
    <w:name w:val="xl14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3300"/>
      <w:spacing w:beforeAutospacing="1" w:afterAutospacing="1"/>
      <w:textAlignment w:val="center"/>
    </w:pPr>
    <w:rPr>
      <w:rFonts w:ascii="Arial" w:eastAsia="Times New Roman" w:hAnsi="Arial" w:cs="Arial"/>
      <w:color w:val="FFFFFF"/>
      <w:sz w:val="16"/>
      <w:szCs w:val="16"/>
      <w:lang w:val="hr-HR" w:eastAsia="hr-HR" w:bidi="ar-SA"/>
    </w:rPr>
  </w:style>
  <w:style w:type="paragraph" w:customStyle="1" w:styleId="xl146">
    <w:name w:val="xl14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330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7">
    <w:name w:val="xl14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3300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8">
    <w:name w:val="xl14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xl149">
    <w:name w:val="xl14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Tekstfus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customStyle="1" w:styleId="Bezpopisa1">
    <w:name w:val="Bez popisa1"/>
    <w:uiPriority w:val="99"/>
    <w:semiHidden/>
    <w:unhideWhenUsed/>
    <w:qFormat/>
  </w:style>
  <w:style w:type="table" w:styleId="Reetkatablice">
    <w:name w:val="Table Grid"/>
    <w:basedOn w:val="Obinatablica"/>
    <w:uiPriority w:val="59"/>
    <w:rPr>
      <w:rFonts w:asciiTheme="minorHAnsi" w:hAnsiTheme="minorHAnsi" w:cstheme="minorBidi"/>
      <w:lang w:val="hr-H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N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5EF6-6768-437D-96DA-D877CECC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Sanja Čagalj</cp:lastModifiedBy>
  <cp:revision>3</cp:revision>
  <cp:lastPrinted>2022-07-15T06:31:00Z</cp:lastPrinted>
  <dcterms:created xsi:type="dcterms:W3CDTF">2023-07-31T20:29:00Z</dcterms:created>
  <dcterms:modified xsi:type="dcterms:W3CDTF">2023-07-31T20:29:00Z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